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DF77A4" w:rsidRDefault="00DF77A4">
      <w:pPr>
        <w:contextualSpacing w:val="0"/>
        <w:rPr>
          <w:color w:val="0C4599"/>
          <w:sz w:val="12"/>
          <w:szCs w:val="12"/>
        </w:rPr>
      </w:pPr>
    </w:p>
    <w:p w:rsidR="00DF77A4" w:rsidRPr="001872D6" w:rsidRDefault="001872D6">
      <w:pPr>
        <w:contextualSpacing w:val="0"/>
        <w:rPr>
          <w:sz w:val="22"/>
          <w:szCs w:val="22"/>
        </w:rPr>
      </w:pPr>
      <w:r w:rsidRPr="001872D6">
        <w:rPr>
          <w:color w:val="595959" w:themeColor="text1" w:themeTint="A6"/>
          <w:sz w:val="48"/>
          <w:szCs w:val="48"/>
        </w:rPr>
        <w:t>Student Loan Repayment</w:t>
      </w:r>
      <w:r>
        <w:rPr>
          <w:sz w:val="48"/>
          <w:szCs w:val="48"/>
        </w:rPr>
        <w:tab/>
      </w:r>
      <w:r>
        <w:rPr>
          <w:sz w:val="48"/>
          <w:szCs w:val="48"/>
        </w:rPr>
        <w:tab/>
      </w:r>
      <w:r>
        <w:rPr>
          <w:sz w:val="48"/>
          <w:szCs w:val="48"/>
        </w:rPr>
        <w:tab/>
      </w:r>
      <w:r>
        <w:rPr>
          <w:sz w:val="22"/>
          <w:szCs w:val="22"/>
        </w:rPr>
        <w:t>Name __________________________________</w:t>
      </w:r>
    </w:p>
    <w:p w:rsidR="00DF77A4" w:rsidRDefault="001872D6">
      <w:pPr>
        <w:contextualSpacing w:val="0"/>
        <w:rPr>
          <w:sz w:val="22"/>
          <w:szCs w:val="22"/>
        </w:rPr>
      </w:pPr>
      <w:r>
        <w:rPr>
          <w:sz w:val="22"/>
          <w:szCs w:val="22"/>
        </w:rPr>
        <w:t>As you complete a post-graduation budget, it’s likely that you’ll need to factor student loan payments into your mandatory costs each month.  The size of your payments will depend on how much student debt you have taken out and which repayment plan you arr</w:t>
      </w:r>
      <w:r>
        <w:rPr>
          <w:sz w:val="22"/>
          <w:szCs w:val="22"/>
        </w:rPr>
        <w:t xml:space="preserve">ange with your lender.  </w:t>
      </w:r>
    </w:p>
    <w:p w:rsidR="00DF77A4" w:rsidRDefault="001872D6">
      <w:pPr>
        <w:pStyle w:val="Heading3"/>
        <w:spacing w:before="360" w:after="80" w:line="288" w:lineRule="auto"/>
        <w:contextualSpacing w:val="0"/>
        <w:jc w:val="left"/>
      </w:pPr>
      <w:bookmarkStart w:id="0" w:name="_7k43opaxwz9t" w:colFirst="0" w:colLast="0"/>
      <w:bookmarkEnd w:id="0"/>
      <w:r>
        <w:t>Part I: Estim</w:t>
      </w:r>
      <w:bookmarkStart w:id="1" w:name="_GoBack"/>
      <w:bookmarkEnd w:id="1"/>
      <w:r>
        <w:t>ate Your Student Debt</w:t>
      </w:r>
    </w:p>
    <w:p w:rsidR="00DF77A4" w:rsidRDefault="001872D6">
      <w:pPr>
        <w:contextualSpacing w:val="0"/>
        <w:rPr>
          <w:sz w:val="22"/>
          <w:szCs w:val="22"/>
        </w:rPr>
      </w:pPr>
      <w:r>
        <w:rPr>
          <w:sz w:val="22"/>
          <w:szCs w:val="22"/>
        </w:rPr>
        <w:t xml:space="preserve">If you already have your personalized cost of attendance for college, you can use that to estimate your likely student debt at the end of college.  Some things you should probably keep in mind:  </w:t>
      </w:r>
    </w:p>
    <w:p w:rsidR="00DF77A4" w:rsidRDefault="001872D6">
      <w:pPr>
        <w:numPr>
          <w:ilvl w:val="0"/>
          <w:numId w:val="2"/>
        </w:numPr>
        <w:ind w:hanging="360"/>
        <w:rPr>
          <w:sz w:val="22"/>
          <w:szCs w:val="22"/>
        </w:rPr>
      </w:pPr>
      <w:r>
        <w:rPr>
          <w:sz w:val="22"/>
          <w:szCs w:val="22"/>
        </w:rPr>
        <w:t>Colleges often raise tuition, room and board, etc. during your period of enrollment, and scholarships and grants may not cover those increases, which would leave you or loans responsible for the difference.</w:t>
      </w:r>
    </w:p>
    <w:p w:rsidR="00DF77A4" w:rsidRDefault="001872D6">
      <w:pPr>
        <w:numPr>
          <w:ilvl w:val="0"/>
          <w:numId w:val="2"/>
        </w:numPr>
        <w:ind w:hanging="360"/>
        <w:rPr>
          <w:sz w:val="22"/>
          <w:szCs w:val="22"/>
        </w:rPr>
      </w:pPr>
      <w:r>
        <w:rPr>
          <w:sz w:val="22"/>
          <w:szCs w:val="22"/>
        </w:rPr>
        <w:t>Scholarships often have terms that must be met an</w:t>
      </w:r>
      <w:r>
        <w:rPr>
          <w:sz w:val="22"/>
          <w:szCs w:val="22"/>
        </w:rPr>
        <w:t xml:space="preserve">nually (ex:  a minimum GPA, continued participation on a sports team, etc).  If you lose the scholarship, your student loan debt will likely increase substantially.  </w:t>
      </w:r>
    </w:p>
    <w:p w:rsidR="00DF77A4" w:rsidRDefault="001872D6">
      <w:pPr>
        <w:numPr>
          <w:ilvl w:val="0"/>
          <w:numId w:val="2"/>
        </w:numPr>
        <w:ind w:hanging="360"/>
        <w:rPr>
          <w:sz w:val="22"/>
          <w:szCs w:val="22"/>
        </w:rPr>
      </w:pPr>
      <w:r>
        <w:rPr>
          <w:sz w:val="22"/>
          <w:szCs w:val="22"/>
        </w:rPr>
        <w:t>Some grants need to be reapplied for annually, and missing the due dates could jeopardize</w:t>
      </w:r>
      <w:r>
        <w:rPr>
          <w:sz w:val="22"/>
          <w:szCs w:val="22"/>
        </w:rPr>
        <w:t xml:space="preserve"> your eligibility.  </w:t>
      </w:r>
    </w:p>
    <w:p w:rsidR="00DF77A4" w:rsidRDefault="00DF77A4">
      <w:pPr>
        <w:contextualSpacing w:val="0"/>
        <w:rPr>
          <w:sz w:val="22"/>
          <w:szCs w:val="22"/>
        </w:rPr>
      </w:pPr>
    </w:p>
    <w:p w:rsidR="00DF77A4" w:rsidRDefault="001872D6">
      <w:pPr>
        <w:contextualSpacing w:val="0"/>
        <w:rPr>
          <w:sz w:val="22"/>
          <w:szCs w:val="22"/>
        </w:rPr>
      </w:pPr>
      <w:r>
        <w:rPr>
          <w:sz w:val="22"/>
          <w:szCs w:val="22"/>
        </w:rPr>
        <w:t xml:space="preserve">If you don’t know your personalized cost of attendance yet, you can use </w:t>
      </w:r>
      <w:hyperlink r:id="rId7">
        <w:r>
          <w:rPr>
            <w:color w:val="1155CC"/>
            <w:sz w:val="22"/>
            <w:szCs w:val="22"/>
            <w:u w:val="single"/>
          </w:rPr>
          <w:t>The Project on Student Debt’s</w:t>
        </w:r>
      </w:hyperlink>
      <w:r>
        <w:rPr>
          <w:sz w:val="22"/>
          <w:szCs w:val="22"/>
        </w:rPr>
        <w:t xml:space="preserve"> map to determine how much student debt you’re likely to have upon graduation.  Follow these directions:</w:t>
      </w:r>
    </w:p>
    <w:p w:rsidR="00DF77A4" w:rsidRDefault="001872D6">
      <w:pPr>
        <w:numPr>
          <w:ilvl w:val="0"/>
          <w:numId w:val="3"/>
        </w:numPr>
        <w:ind w:hanging="360"/>
        <w:rPr>
          <w:sz w:val="22"/>
          <w:szCs w:val="22"/>
        </w:rPr>
      </w:pPr>
      <w:r>
        <w:rPr>
          <w:sz w:val="22"/>
          <w:szCs w:val="22"/>
        </w:rPr>
        <w:t xml:space="preserve">Choose the state in which you plan to attend college (not your home state).  </w:t>
      </w:r>
    </w:p>
    <w:p w:rsidR="00DF77A4" w:rsidRDefault="001872D6">
      <w:pPr>
        <w:numPr>
          <w:ilvl w:val="0"/>
          <w:numId w:val="3"/>
        </w:numPr>
        <w:ind w:hanging="360"/>
        <w:rPr>
          <w:sz w:val="22"/>
          <w:szCs w:val="22"/>
        </w:rPr>
      </w:pPr>
      <w:r>
        <w:rPr>
          <w:sz w:val="22"/>
          <w:szCs w:val="22"/>
        </w:rPr>
        <w:t>Click on the state and then look for your specific college in the list of</w:t>
      </w:r>
      <w:r>
        <w:rPr>
          <w:sz w:val="22"/>
          <w:szCs w:val="22"/>
        </w:rPr>
        <w:t xml:space="preserve"> public or private schools.  If average student loan debt (as of 2015) is provided for your college, use that figure.</w:t>
      </w:r>
    </w:p>
    <w:p w:rsidR="00DF77A4" w:rsidRDefault="001872D6">
      <w:pPr>
        <w:numPr>
          <w:ilvl w:val="0"/>
          <w:numId w:val="3"/>
        </w:numPr>
        <w:ind w:hanging="360"/>
        <w:rPr>
          <w:sz w:val="22"/>
          <w:szCs w:val="22"/>
        </w:rPr>
      </w:pPr>
      <w:r>
        <w:rPr>
          <w:sz w:val="22"/>
          <w:szCs w:val="22"/>
        </w:rPr>
        <w:t xml:space="preserve">If your specific college is not listed, use the state average for student loan debt.  </w:t>
      </w:r>
    </w:p>
    <w:p w:rsidR="00DF77A4" w:rsidRDefault="00DF22B2">
      <w:pPr>
        <w:contextualSpacing w:val="0"/>
        <w:rPr>
          <w:sz w:val="22"/>
          <w:szCs w:val="22"/>
        </w:rPr>
      </w:pPr>
      <w:r>
        <w:rPr>
          <w:noProof/>
          <w:sz w:val="22"/>
          <w:szCs w:val="22"/>
        </w:rPr>
        <mc:AlternateContent>
          <mc:Choice Requires="wps">
            <w:drawing>
              <wp:anchor distT="0" distB="0" distL="114300" distR="114300" simplePos="0" relativeHeight="251659264" behindDoc="0" locked="0" layoutInCell="1" allowOverlap="1">
                <wp:simplePos x="0" y="0"/>
                <wp:positionH relativeFrom="column">
                  <wp:posOffset>-104775</wp:posOffset>
                </wp:positionH>
                <wp:positionV relativeFrom="paragraph">
                  <wp:posOffset>95250</wp:posOffset>
                </wp:positionV>
                <wp:extent cx="6962775" cy="18288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6962775" cy="18288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79B93CD" id="Rectangle 2" o:spid="_x0000_s1026" style="position:absolute;margin-left:-8.25pt;margin-top:7.5pt;width:548.25pt;height:2in;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j7HfAIAAEUFAAAOAAAAZHJzL2Uyb0RvYy54bWysVE1v2zAMvQ/YfxB0X+0Y/UiDOEXQosOA&#10;oi2aDj0rshQbkEWNUuJkv36U7LhFW+wwLAdFFMlH8flR86t9a9hOoW/AlnxyknOmrISqsZuS/3y+&#10;/TblzAdhK2HAqpIflOdXi69f5p2bqQJqMJVCRiDWzzpX8joEN8syL2vVCn8CTllyasBWBDJxk1Uo&#10;OkJvTVbk+XnWAVYOQSrv6fSmd/JFwtdayfCgtVeBmZLT3UJaMa3ruGaLuZhtULi6kcM1xD/cohWN&#10;paIj1I0Igm2x+QDVNhLBgw4nEtoMtG6kSj1QN5P8XTerWjiVeiFyvBtp8v8PVt7vHpE1VckLzqxo&#10;6RM9EWnCboxiRaSnc35GUSv3iIPlaRt73Wts4z91wfaJ0sNIqdoHJunw/PK8uLg440ySbzItptM8&#10;kZ69pjv04buClsVNyZHKJyrF7s4HKkmhx5BYzcJtY0w8jzfr75J24WBUDDD2SWlqiaoXCSiJSV0b&#10;ZDtBMhBSKhsmvasWleqPz3L6xYap3piRrAQYkTUVHrEHgCjUj9g9zBAfU1XS4pic/+1iffKYkSqD&#10;DWNy21jAzwAMdTVU7uOPJPXURJbWUB3ogyP0k+CdvG2I9jvhw6NAkj4NCY1zeKBFG+hKDsOOsxrw&#10;92fnMZ4USV7OOhqlkvtfW4GKM/PDklYvJ6encfaScXp2UZCBbz3rtx67ba+BPtOEHg4n0zbGB3Pc&#10;aoT2haZ+GauSS1hJtUsuAx6N69CPOL0bUi2XKYzmzYlwZ1dORvDIapTV8/5FoBu0F0i293AcOzF7&#10;J8E+NmZaWG4D6Cbp85XXgW+a1SSc4V2Jj8FbO0W9vn6LPwAAAP//AwBQSwMEFAAGAAgAAAAhAOwE&#10;ROXhAAAACwEAAA8AAABkcnMvZG93bnJldi54bWxMj0FLw0AQhe+C/2EZwVu7G0tCSbMpqSCIgtBY&#10;RG/bZJqEZmdjdtvGf+/0pLd5vI8372XryfbijKPvHGmI5goEUuXqjhoNu/en2RKED4Zq0ztCDT/o&#10;YZ3f3mQmrd2FtnguQyM4hHxqNLQhDKmUvmrRGj93AxJ7BzdaE1iOjaxHc+Fw28sHpRJpTUf8oTUD&#10;PrZYHcuT1fCxjQ+42SQ7+fZVfBdR+Ty9vnxqfX83FSsQAafwB8O1PleHnDvt3YlqL3oNsyiJGWUj&#10;5k1XQC0VX3sNC7VQIPNM/t+Q/wIAAP//AwBQSwECLQAUAAYACAAAACEAtoM4kv4AAADhAQAAEwAA&#10;AAAAAAAAAAAAAAAAAAAAW0NvbnRlbnRfVHlwZXNdLnhtbFBLAQItABQABgAIAAAAIQA4/SH/1gAA&#10;AJQBAAALAAAAAAAAAAAAAAAAAC8BAABfcmVscy8ucmVsc1BLAQItABQABgAIAAAAIQBuWj7HfAIA&#10;AEUFAAAOAAAAAAAAAAAAAAAAAC4CAABkcnMvZTJvRG9jLnhtbFBLAQItABQABgAIAAAAIQDsBETl&#10;4QAAAAsBAAAPAAAAAAAAAAAAAAAAANYEAABkcnMvZG93bnJldi54bWxQSwUGAAAAAAQABADzAAAA&#10;5AUAAAAA&#10;" filled="f" strokecolor="#1f4d78 [1604]" strokeweight="1pt"/>
            </w:pict>
          </mc:Fallback>
        </mc:AlternateContent>
      </w:r>
    </w:p>
    <w:p w:rsidR="00DF77A4" w:rsidRDefault="001872D6">
      <w:pPr>
        <w:contextualSpacing w:val="0"/>
        <w:rPr>
          <w:sz w:val="22"/>
          <w:szCs w:val="22"/>
        </w:rPr>
      </w:pPr>
      <w:r>
        <w:rPr>
          <w:sz w:val="22"/>
          <w:szCs w:val="22"/>
        </w:rPr>
        <w:t>Answer the following questions:</w:t>
      </w:r>
    </w:p>
    <w:p w:rsidR="00DF77A4" w:rsidRDefault="001872D6">
      <w:pPr>
        <w:numPr>
          <w:ilvl w:val="0"/>
          <w:numId w:val="1"/>
        </w:numPr>
        <w:ind w:hanging="360"/>
        <w:rPr>
          <w:sz w:val="22"/>
          <w:szCs w:val="22"/>
        </w:rPr>
      </w:pPr>
      <w:r>
        <w:rPr>
          <w:sz w:val="22"/>
          <w:szCs w:val="22"/>
        </w:rPr>
        <w:t>Are you using a p</w:t>
      </w:r>
      <w:r>
        <w:rPr>
          <w:sz w:val="22"/>
          <w:szCs w:val="22"/>
        </w:rPr>
        <w:t>ersonalized cost of attendance or an estimate from The Project on Student Debt?</w:t>
      </w:r>
    </w:p>
    <w:p w:rsidR="00DF77A4" w:rsidRDefault="00DF77A4">
      <w:pPr>
        <w:contextualSpacing w:val="0"/>
        <w:rPr>
          <w:sz w:val="22"/>
          <w:szCs w:val="22"/>
        </w:rPr>
      </w:pPr>
    </w:p>
    <w:p w:rsidR="00DF22B2" w:rsidRDefault="00DF22B2">
      <w:pPr>
        <w:contextualSpacing w:val="0"/>
        <w:rPr>
          <w:sz w:val="22"/>
          <w:szCs w:val="22"/>
        </w:rPr>
      </w:pPr>
    </w:p>
    <w:p w:rsidR="00DF77A4" w:rsidRDefault="001872D6">
      <w:pPr>
        <w:numPr>
          <w:ilvl w:val="0"/>
          <w:numId w:val="1"/>
        </w:numPr>
        <w:ind w:hanging="360"/>
        <w:rPr>
          <w:sz w:val="22"/>
          <w:szCs w:val="22"/>
        </w:rPr>
      </w:pPr>
      <w:r>
        <w:rPr>
          <w:sz w:val="22"/>
          <w:szCs w:val="22"/>
        </w:rPr>
        <w:t>What college and/or state are you using?</w:t>
      </w:r>
    </w:p>
    <w:p w:rsidR="00DF77A4" w:rsidRDefault="00DF77A4">
      <w:pPr>
        <w:contextualSpacing w:val="0"/>
        <w:rPr>
          <w:sz w:val="22"/>
          <w:szCs w:val="22"/>
        </w:rPr>
      </w:pPr>
    </w:p>
    <w:p w:rsidR="00DF22B2" w:rsidRDefault="00DF22B2">
      <w:pPr>
        <w:contextualSpacing w:val="0"/>
        <w:rPr>
          <w:sz w:val="22"/>
          <w:szCs w:val="22"/>
        </w:rPr>
      </w:pPr>
    </w:p>
    <w:p w:rsidR="00DF77A4" w:rsidRDefault="001872D6">
      <w:pPr>
        <w:numPr>
          <w:ilvl w:val="0"/>
          <w:numId w:val="1"/>
        </w:numPr>
        <w:ind w:hanging="360"/>
        <w:rPr>
          <w:sz w:val="22"/>
          <w:szCs w:val="22"/>
        </w:rPr>
      </w:pPr>
      <w:r>
        <w:rPr>
          <w:sz w:val="22"/>
          <w:szCs w:val="22"/>
        </w:rPr>
        <w:t xml:space="preserve">What will be your likely student debt at the end of four years?  </w:t>
      </w:r>
    </w:p>
    <w:p w:rsidR="00DF77A4" w:rsidRDefault="00DF77A4">
      <w:pPr>
        <w:contextualSpacing w:val="0"/>
        <w:rPr>
          <w:sz w:val="22"/>
          <w:szCs w:val="22"/>
        </w:rPr>
      </w:pPr>
    </w:p>
    <w:p w:rsidR="00DF77A4" w:rsidRDefault="001872D6">
      <w:pPr>
        <w:pStyle w:val="Heading3"/>
        <w:spacing w:before="360" w:after="80" w:line="288" w:lineRule="auto"/>
        <w:contextualSpacing w:val="0"/>
        <w:jc w:val="left"/>
      </w:pPr>
      <w:bookmarkStart w:id="2" w:name="_5z3egk9doj3n" w:colFirst="0" w:colLast="0"/>
      <w:bookmarkEnd w:id="2"/>
      <w:r>
        <w:t>Part II: Assess Your Repayment Plan Options</w:t>
      </w:r>
    </w:p>
    <w:p w:rsidR="00DF77A4" w:rsidRDefault="001872D6">
      <w:pPr>
        <w:contextualSpacing w:val="0"/>
        <w:rPr>
          <w:b/>
          <w:sz w:val="22"/>
          <w:szCs w:val="22"/>
        </w:rPr>
      </w:pPr>
      <w:r>
        <w:rPr>
          <w:sz w:val="22"/>
          <w:szCs w:val="22"/>
        </w:rPr>
        <w:t xml:space="preserve">Currently, there are 7 basic repayment plans for </w:t>
      </w:r>
      <w:r w:rsidRPr="00DF22B2">
        <w:rPr>
          <w:sz w:val="22"/>
          <w:szCs w:val="22"/>
          <w:u w:val="single"/>
        </w:rPr>
        <w:t>federal</w:t>
      </w:r>
      <w:r>
        <w:rPr>
          <w:sz w:val="22"/>
          <w:szCs w:val="22"/>
        </w:rPr>
        <w:t xml:space="preserve"> loans.  </w:t>
      </w:r>
      <w:r>
        <w:rPr>
          <w:b/>
          <w:sz w:val="22"/>
          <w:szCs w:val="22"/>
        </w:rPr>
        <w:t xml:space="preserve">Read descriptions of the 8 plans on the </w:t>
      </w:r>
      <w:hyperlink r:id="rId8">
        <w:r>
          <w:rPr>
            <w:b/>
            <w:color w:val="1155CC"/>
            <w:sz w:val="22"/>
            <w:szCs w:val="22"/>
            <w:u w:val="single"/>
          </w:rPr>
          <w:t>Federal Student Aid</w:t>
        </w:r>
      </w:hyperlink>
      <w:r>
        <w:rPr>
          <w:b/>
          <w:sz w:val="22"/>
          <w:szCs w:val="22"/>
        </w:rPr>
        <w:t xml:space="preserve"> website, paying close attention to the column labeled “Monthly Payment and Time Fra</w:t>
      </w:r>
      <w:r>
        <w:rPr>
          <w:b/>
          <w:sz w:val="22"/>
          <w:szCs w:val="22"/>
        </w:rPr>
        <w:t xml:space="preserve">me.” </w:t>
      </w:r>
    </w:p>
    <w:p w:rsidR="00DF77A4" w:rsidRDefault="00DF77A4">
      <w:pPr>
        <w:contextualSpacing w:val="0"/>
        <w:rPr>
          <w:sz w:val="22"/>
          <w:szCs w:val="22"/>
        </w:rPr>
      </w:pPr>
    </w:p>
    <w:p w:rsidR="00DF77A4" w:rsidRDefault="001872D6">
      <w:pPr>
        <w:contextualSpacing w:val="0"/>
        <w:rPr>
          <w:sz w:val="22"/>
          <w:szCs w:val="22"/>
        </w:rPr>
      </w:pPr>
      <w:r>
        <w:rPr>
          <w:sz w:val="22"/>
          <w:szCs w:val="22"/>
        </w:rPr>
        <w:t xml:space="preserve">Now, follow the directions below, using </w:t>
      </w:r>
      <w:hyperlink r:id="rId9">
        <w:r>
          <w:rPr>
            <w:color w:val="1155CC"/>
            <w:sz w:val="22"/>
            <w:szCs w:val="22"/>
            <w:u w:val="single"/>
          </w:rPr>
          <w:t>the Repayment Estimator</w:t>
        </w:r>
      </w:hyperlink>
      <w:r>
        <w:rPr>
          <w:sz w:val="22"/>
          <w:szCs w:val="22"/>
        </w:rPr>
        <w:t xml:space="preserve"> </w:t>
      </w:r>
      <w:r>
        <w:rPr>
          <w:sz w:val="22"/>
          <w:szCs w:val="22"/>
        </w:rPr>
        <w:t xml:space="preserve">and the current standard Direct Loan interest rate of 3.76%, to estimate your monthly student loan payments under each plan. </w:t>
      </w:r>
    </w:p>
    <w:p w:rsidR="00DF77A4" w:rsidRDefault="001872D6">
      <w:pPr>
        <w:numPr>
          <w:ilvl w:val="0"/>
          <w:numId w:val="5"/>
        </w:numPr>
        <w:ind w:hanging="360"/>
        <w:rPr>
          <w:sz w:val="22"/>
          <w:szCs w:val="22"/>
        </w:rPr>
      </w:pPr>
      <w:r>
        <w:rPr>
          <w:sz w:val="22"/>
          <w:szCs w:val="22"/>
        </w:rPr>
        <w:t>Click the box labeled “Proceed” to use the estimator without logging in.</w:t>
      </w:r>
    </w:p>
    <w:p w:rsidR="00DF77A4" w:rsidRDefault="001872D6">
      <w:pPr>
        <w:numPr>
          <w:ilvl w:val="0"/>
          <w:numId w:val="5"/>
        </w:numPr>
        <w:ind w:hanging="360"/>
        <w:rPr>
          <w:sz w:val="22"/>
          <w:szCs w:val="22"/>
        </w:rPr>
      </w:pPr>
      <w:r>
        <w:rPr>
          <w:sz w:val="22"/>
          <w:szCs w:val="22"/>
        </w:rPr>
        <w:t>Click “Add Loans” and choose “Direct Unsubsidized” as Loa</w:t>
      </w:r>
      <w:r>
        <w:rPr>
          <w:sz w:val="22"/>
          <w:szCs w:val="22"/>
        </w:rPr>
        <w:t>n Type.</w:t>
      </w:r>
    </w:p>
    <w:p w:rsidR="00DF77A4" w:rsidRDefault="001872D6">
      <w:pPr>
        <w:numPr>
          <w:ilvl w:val="0"/>
          <w:numId w:val="5"/>
        </w:numPr>
        <w:ind w:hanging="360"/>
        <w:rPr>
          <w:sz w:val="22"/>
          <w:szCs w:val="22"/>
        </w:rPr>
      </w:pPr>
      <w:r>
        <w:rPr>
          <w:sz w:val="22"/>
          <w:szCs w:val="22"/>
        </w:rPr>
        <w:t>Add your answer to C above as “Balance.”</w:t>
      </w:r>
    </w:p>
    <w:p w:rsidR="00DF77A4" w:rsidRDefault="001872D6">
      <w:pPr>
        <w:numPr>
          <w:ilvl w:val="0"/>
          <w:numId w:val="5"/>
        </w:numPr>
        <w:ind w:hanging="360"/>
        <w:rPr>
          <w:sz w:val="22"/>
          <w:szCs w:val="22"/>
        </w:rPr>
      </w:pPr>
      <w:r>
        <w:rPr>
          <w:sz w:val="22"/>
          <w:szCs w:val="22"/>
        </w:rPr>
        <w:t>Use 3.76% as the “Interest Rate” and click the “Add” box.</w:t>
      </w:r>
    </w:p>
    <w:p w:rsidR="00DF77A4" w:rsidRDefault="001872D6">
      <w:pPr>
        <w:numPr>
          <w:ilvl w:val="0"/>
          <w:numId w:val="5"/>
        </w:numPr>
        <w:ind w:hanging="360"/>
        <w:rPr>
          <w:sz w:val="22"/>
          <w:szCs w:val="22"/>
        </w:rPr>
      </w:pPr>
      <w:r>
        <w:rPr>
          <w:sz w:val="22"/>
          <w:szCs w:val="22"/>
        </w:rPr>
        <w:t>Select your filing status.</w:t>
      </w:r>
    </w:p>
    <w:p w:rsidR="00DF77A4" w:rsidRDefault="001872D6">
      <w:pPr>
        <w:numPr>
          <w:ilvl w:val="0"/>
          <w:numId w:val="5"/>
        </w:numPr>
        <w:ind w:hanging="360"/>
        <w:rPr>
          <w:sz w:val="22"/>
          <w:szCs w:val="22"/>
        </w:rPr>
      </w:pPr>
      <w:r>
        <w:rPr>
          <w:sz w:val="22"/>
          <w:szCs w:val="22"/>
        </w:rPr>
        <w:t>Enter your annual income from the Salary-Based Budgeting activity as the “Adjusted Gross Income,” or, if you haven’t compl</w:t>
      </w:r>
      <w:r>
        <w:rPr>
          <w:sz w:val="22"/>
          <w:szCs w:val="22"/>
        </w:rPr>
        <w:t xml:space="preserve">eted that activity, use $50,600, which is the average starting salary for a college grad in 2015. </w:t>
      </w:r>
    </w:p>
    <w:p w:rsidR="00DF77A4" w:rsidRDefault="001872D6">
      <w:pPr>
        <w:numPr>
          <w:ilvl w:val="0"/>
          <w:numId w:val="5"/>
        </w:numPr>
        <w:ind w:hanging="360"/>
        <w:rPr>
          <w:sz w:val="22"/>
          <w:szCs w:val="22"/>
        </w:rPr>
      </w:pPr>
      <w:r>
        <w:rPr>
          <w:sz w:val="22"/>
          <w:szCs w:val="22"/>
        </w:rPr>
        <w:t>Choose the state you plan to live in post-graduation.</w:t>
      </w:r>
    </w:p>
    <w:p w:rsidR="00DF77A4" w:rsidRDefault="001872D6">
      <w:pPr>
        <w:numPr>
          <w:ilvl w:val="0"/>
          <w:numId w:val="5"/>
        </w:numPr>
        <w:ind w:hanging="360"/>
        <w:rPr>
          <w:sz w:val="22"/>
          <w:szCs w:val="22"/>
        </w:rPr>
      </w:pPr>
      <w:r>
        <w:rPr>
          <w:sz w:val="22"/>
          <w:szCs w:val="22"/>
        </w:rPr>
        <w:t xml:space="preserve">Click “Calculate Results.” </w:t>
      </w:r>
    </w:p>
    <w:p w:rsidR="00DF77A4" w:rsidRDefault="00DF77A4">
      <w:pPr>
        <w:contextualSpacing w:val="0"/>
        <w:rPr>
          <w:sz w:val="22"/>
          <w:szCs w:val="22"/>
        </w:rPr>
      </w:pPr>
    </w:p>
    <w:p w:rsidR="00DF22B2" w:rsidRDefault="00DF22B2">
      <w:pPr>
        <w:rPr>
          <w:sz w:val="22"/>
          <w:szCs w:val="22"/>
        </w:rPr>
      </w:pPr>
      <w:r>
        <w:rPr>
          <w:sz w:val="22"/>
          <w:szCs w:val="22"/>
        </w:rPr>
        <w:br w:type="page"/>
      </w:r>
    </w:p>
    <w:p w:rsidR="00DF77A4" w:rsidRDefault="001872D6">
      <w:pPr>
        <w:contextualSpacing w:val="0"/>
        <w:rPr>
          <w:sz w:val="22"/>
          <w:szCs w:val="22"/>
        </w:rPr>
      </w:pPr>
      <w:r>
        <w:rPr>
          <w:sz w:val="22"/>
          <w:szCs w:val="22"/>
        </w:rPr>
        <w:lastRenderedPageBreak/>
        <w:t>Complete the chart below for your projected loan repayment options.</w:t>
      </w:r>
    </w:p>
    <w:tbl>
      <w:tblPr>
        <w:tblStyle w:val="a3"/>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40"/>
        <w:gridCol w:w="1755"/>
        <w:gridCol w:w="1740"/>
        <w:gridCol w:w="1815"/>
        <w:gridCol w:w="1650"/>
        <w:gridCol w:w="1800"/>
      </w:tblGrid>
      <w:tr w:rsidR="00DF77A4">
        <w:tc>
          <w:tcPr>
            <w:tcW w:w="2040" w:type="dxa"/>
            <w:shd w:val="clear" w:color="auto" w:fill="D0E0E3"/>
            <w:tcMar>
              <w:top w:w="100" w:type="dxa"/>
              <w:left w:w="100" w:type="dxa"/>
              <w:bottom w:w="100" w:type="dxa"/>
              <w:right w:w="100" w:type="dxa"/>
            </w:tcMar>
            <w:vAlign w:val="center"/>
          </w:tcPr>
          <w:p w:rsidR="00DF77A4" w:rsidRDefault="001872D6">
            <w:pPr>
              <w:contextualSpacing w:val="0"/>
              <w:jc w:val="center"/>
              <w:rPr>
                <w:b/>
                <w:sz w:val="22"/>
                <w:szCs w:val="22"/>
              </w:rPr>
            </w:pPr>
            <w:r>
              <w:rPr>
                <w:b/>
                <w:sz w:val="22"/>
                <w:szCs w:val="22"/>
              </w:rPr>
              <w:t>Loan R</w:t>
            </w:r>
            <w:r>
              <w:rPr>
                <w:b/>
                <w:sz w:val="22"/>
                <w:szCs w:val="22"/>
              </w:rPr>
              <w:t>epayment Plan</w:t>
            </w:r>
          </w:p>
        </w:tc>
        <w:tc>
          <w:tcPr>
            <w:tcW w:w="1755" w:type="dxa"/>
            <w:shd w:val="clear" w:color="auto" w:fill="D0E0E3"/>
            <w:tcMar>
              <w:top w:w="100" w:type="dxa"/>
              <w:left w:w="100" w:type="dxa"/>
              <w:bottom w:w="100" w:type="dxa"/>
              <w:right w:w="100" w:type="dxa"/>
            </w:tcMar>
            <w:vAlign w:val="center"/>
          </w:tcPr>
          <w:p w:rsidR="00DF77A4" w:rsidRDefault="001872D6">
            <w:pPr>
              <w:contextualSpacing w:val="0"/>
              <w:jc w:val="center"/>
              <w:rPr>
                <w:b/>
                <w:sz w:val="22"/>
                <w:szCs w:val="22"/>
              </w:rPr>
            </w:pPr>
            <w:r>
              <w:rPr>
                <w:b/>
                <w:sz w:val="22"/>
                <w:szCs w:val="22"/>
              </w:rPr>
              <w:t>First Monthly Payment</w:t>
            </w:r>
          </w:p>
        </w:tc>
        <w:tc>
          <w:tcPr>
            <w:tcW w:w="1740" w:type="dxa"/>
            <w:shd w:val="clear" w:color="auto" w:fill="D0E0E3"/>
            <w:tcMar>
              <w:top w:w="100" w:type="dxa"/>
              <w:left w:w="100" w:type="dxa"/>
              <w:bottom w:w="100" w:type="dxa"/>
              <w:right w:w="100" w:type="dxa"/>
            </w:tcMar>
            <w:vAlign w:val="center"/>
          </w:tcPr>
          <w:p w:rsidR="00DF77A4" w:rsidRDefault="001872D6">
            <w:pPr>
              <w:contextualSpacing w:val="0"/>
              <w:jc w:val="center"/>
              <w:rPr>
                <w:b/>
                <w:sz w:val="22"/>
                <w:szCs w:val="22"/>
              </w:rPr>
            </w:pPr>
            <w:r>
              <w:rPr>
                <w:b/>
                <w:sz w:val="22"/>
                <w:szCs w:val="22"/>
              </w:rPr>
              <w:t>Last Monthly Payment</w:t>
            </w:r>
          </w:p>
        </w:tc>
        <w:tc>
          <w:tcPr>
            <w:tcW w:w="1815" w:type="dxa"/>
            <w:shd w:val="clear" w:color="auto" w:fill="D0E0E3"/>
            <w:tcMar>
              <w:top w:w="100" w:type="dxa"/>
              <w:left w:w="100" w:type="dxa"/>
              <w:bottom w:w="100" w:type="dxa"/>
              <w:right w:w="100" w:type="dxa"/>
            </w:tcMar>
            <w:vAlign w:val="center"/>
          </w:tcPr>
          <w:p w:rsidR="00DF77A4" w:rsidRDefault="001872D6">
            <w:pPr>
              <w:contextualSpacing w:val="0"/>
              <w:jc w:val="center"/>
              <w:rPr>
                <w:b/>
                <w:sz w:val="22"/>
                <w:szCs w:val="22"/>
              </w:rPr>
            </w:pPr>
            <w:r>
              <w:rPr>
                <w:b/>
                <w:sz w:val="22"/>
                <w:szCs w:val="22"/>
              </w:rPr>
              <w:t>Total Amount Paid</w:t>
            </w:r>
          </w:p>
        </w:tc>
        <w:tc>
          <w:tcPr>
            <w:tcW w:w="1650" w:type="dxa"/>
            <w:shd w:val="clear" w:color="auto" w:fill="D0E0E3"/>
            <w:tcMar>
              <w:top w:w="100" w:type="dxa"/>
              <w:left w:w="100" w:type="dxa"/>
              <w:bottom w:w="100" w:type="dxa"/>
              <w:right w:w="100" w:type="dxa"/>
            </w:tcMar>
            <w:vAlign w:val="center"/>
          </w:tcPr>
          <w:p w:rsidR="00DF77A4" w:rsidRDefault="001872D6">
            <w:pPr>
              <w:contextualSpacing w:val="0"/>
              <w:jc w:val="center"/>
              <w:rPr>
                <w:b/>
                <w:sz w:val="22"/>
                <w:szCs w:val="22"/>
              </w:rPr>
            </w:pPr>
            <w:r>
              <w:rPr>
                <w:b/>
                <w:sz w:val="22"/>
                <w:szCs w:val="22"/>
              </w:rPr>
              <w:t>Projected Loan Forgiveness</w:t>
            </w:r>
          </w:p>
        </w:tc>
        <w:tc>
          <w:tcPr>
            <w:tcW w:w="1800" w:type="dxa"/>
            <w:shd w:val="clear" w:color="auto" w:fill="D0E0E3"/>
            <w:tcMar>
              <w:top w:w="100" w:type="dxa"/>
              <w:left w:w="100" w:type="dxa"/>
              <w:bottom w:w="100" w:type="dxa"/>
              <w:right w:w="100" w:type="dxa"/>
            </w:tcMar>
            <w:vAlign w:val="center"/>
          </w:tcPr>
          <w:p w:rsidR="00DF77A4" w:rsidRDefault="001872D6">
            <w:pPr>
              <w:contextualSpacing w:val="0"/>
              <w:jc w:val="center"/>
              <w:rPr>
                <w:b/>
                <w:sz w:val="22"/>
                <w:szCs w:val="22"/>
              </w:rPr>
            </w:pPr>
            <w:r>
              <w:rPr>
                <w:b/>
                <w:sz w:val="22"/>
                <w:szCs w:val="22"/>
              </w:rPr>
              <w:t>Repayment Period</w:t>
            </w:r>
          </w:p>
        </w:tc>
      </w:tr>
      <w:tr w:rsidR="00DF77A4">
        <w:tc>
          <w:tcPr>
            <w:tcW w:w="2040" w:type="dxa"/>
            <w:tcMar>
              <w:top w:w="100" w:type="dxa"/>
              <w:left w:w="100" w:type="dxa"/>
              <w:bottom w:w="100" w:type="dxa"/>
              <w:right w:w="100" w:type="dxa"/>
            </w:tcMar>
          </w:tcPr>
          <w:p w:rsidR="00DF77A4" w:rsidRDefault="001872D6">
            <w:pPr>
              <w:contextualSpacing w:val="0"/>
              <w:rPr>
                <w:sz w:val="22"/>
                <w:szCs w:val="22"/>
              </w:rPr>
            </w:pPr>
            <w:r>
              <w:rPr>
                <w:sz w:val="22"/>
                <w:szCs w:val="22"/>
              </w:rPr>
              <w:t>Standard</w:t>
            </w:r>
          </w:p>
        </w:tc>
        <w:tc>
          <w:tcPr>
            <w:tcW w:w="1755" w:type="dxa"/>
            <w:tcMar>
              <w:top w:w="100" w:type="dxa"/>
              <w:left w:w="100" w:type="dxa"/>
              <w:bottom w:w="100" w:type="dxa"/>
              <w:right w:w="100" w:type="dxa"/>
            </w:tcMar>
          </w:tcPr>
          <w:p w:rsidR="00DF77A4" w:rsidRDefault="00DF77A4">
            <w:pPr>
              <w:contextualSpacing w:val="0"/>
              <w:rPr>
                <w:sz w:val="22"/>
                <w:szCs w:val="22"/>
              </w:rPr>
            </w:pPr>
          </w:p>
          <w:p w:rsidR="00DF77A4" w:rsidRDefault="00DF77A4">
            <w:pPr>
              <w:contextualSpacing w:val="0"/>
              <w:rPr>
                <w:sz w:val="22"/>
                <w:szCs w:val="22"/>
              </w:rPr>
            </w:pPr>
          </w:p>
        </w:tc>
        <w:tc>
          <w:tcPr>
            <w:tcW w:w="1740" w:type="dxa"/>
            <w:tcMar>
              <w:top w:w="100" w:type="dxa"/>
              <w:left w:w="100" w:type="dxa"/>
              <w:bottom w:w="100" w:type="dxa"/>
              <w:right w:w="100" w:type="dxa"/>
            </w:tcMar>
          </w:tcPr>
          <w:p w:rsidR="00DF77A4" w:rsidRDefault="00DF77A4">
            <w:pPr>
              <w:contextualSpacing w:val="0"/>
              <w:rPr>
                <w:sz w:val="22"/>
                <w:szCs w:val="22"/>
              </w:rPr>
            </w:pPr>
          </w:p>
        </w:tc>
        <w:tc>
          <w:tcPr>
            <w:tcW w:w="1815" w:type="dxa"/>
            <w:tcMar>
              <w:top w:w="100" w:type="dxa"/>
              <w:left w:w="100" w:type="dxa"/>
              <w:bottom w:w="100" w:type="dxa"/>
              <w:right w:w="100" w:type="dxa"/>
            </w:tcMar>
          </w:tcPr>
          <w:p w:rsidR="00DF77A4" w:rsidRDefault="00DF77A4">
            <w:pPr>
              <w:contextualSpacing w:val="0"/>
              <w:rPr>
                <w:sz w:val="22"/>
                <w:szCs w:val="22"/>
              </w:rPr>
            </w:pPr>
          </w:p>
        </w:tc>
        <w:tc>
          <w:tcPr>
            <w:tcW w:w="1650" w:type="dxa"/>
            <w:tcMar>
              <w:top w:w="100" w:type="dxa"/>
              <w:left w:w="100" w:type="dxa"/>
              <w:bottom w:w="100" w:type="dxa"/>
              <w:right w:w="100" w:type="dxa"/>
            </w:tcMar>
          </w:tcPr>
          <w:p w:rsidR="00DF77A4" w:rsidRDefault="00DF77A4">
            <w:pPr>
              <w:contextualSpacing w:val="0"/>
              <w:rPr>
                <w:sz w:val="22"/>
                <w:szCs w:val="22"/>
              </w:rPr>
            </w:pPr>
          </w:p>
        </w:tc>
        <w:tc>
          <w:tcPr>
            <w:tcW w:w="1800" w:type="dxa"/>
            <w:tcMar>
              <w:top w:w="100" w:type="dxa"/>
              <w:left w:w="100" w:type="dxa"/>
              <w:bottom w:w="100" w:type="dxa"/>
              <w:right w:w="100" w:type="dxa"/>
            </w:tcMar>
          </w:tcPr>
          <w:p w:rsidR="00DF77A4" w:rsidRDefault="00DF77A4">
            <w:pPr>
              <w:contextualSpacing w:val="0"/>
              <w:rPr>
                <w:sz w:val="22"/>
                <w:szCs w:val="22"/>
              </w:rPr>
            </w:pPr>
          </w:p>
        </w:tc>
      </w:tr>
      <w:tr w:rsidR="00DF77A4">
        <w:tc>
          <w:tcPr>
            <w:tcW w:w="2040" w:type="dxa"/>
            <w:tcMar>
              <w:top w:w="100" w:type="dxa"/>
              <w:left w:w="100" w:type="dxa"/>
              <w:bottom w:w="100" w:type="dxa"/>
              <w:right w:w="100" w:type="dxa"/>
            </w:tcMar>
          </w:tcPr>
          <w:p w:rsidR="00DF77A4" w:rsidRDefault="001872D6">
            <w:pPr>
              <w:contextualSpacing w:val="0"/>
              <w:rPr>
                <w:sz w:val="22"/>
                <w:szCs w:val="22"/>
              </w:rPr>
            </w:pPr>
            <w:r>
              <w:rPr>
                <w:sz w:val="22"/>
                <w:szCs w:val="22"/>
              </w:rPr>
              <w:t>Graduated</w:t>
            </w:r>
          </w:p>
        </w:tc>
        <w:tc>
          <w:tcPr>
            <w:tcW w:w="1755" w:type="dxa"/>
            <w:tcMar>
              <w:top w:w="100" w:type="dxa"/>
              <w:left w:w="100" w:type="dxa"/>
              <w:bottom w:w="100" w:type="dxa"/>
              <w:right w:w="100" w:type="dxa"/>
            </w:tcMar>
          </w:tcPr>
          <w:p w:rsidR="00DF77A4" w:rsidRDefault="00DF77A4">
            <w:pPr>
              <w:contextualSpacing w:val="0"/>
              <w:rPr>
                <w:sz w:val="22"/>
                <w:szCs w:val="22"/>
              </w:rPr>
            </w:pPr>
          </w:p>
          <w:p w:rsidR="00DF77A4" w:rsidRDefault="00DF77A4">
            <w:pPr>
              <w:contextualSpacing w:val="0"/>
              <w:rPr>
                <w:sz w:val="22"/>
                <w:szCs w:val="22"/>
              </w:rPr>
            </w:pPr>
          </w:p>
        </w:tc>
        <w:tc>
          <w:tcPr>
            <w:tcW w:w="1740" w:type="dxa"/>
            <w:tcMar>
              <w:top w:w="100" w:type="dxa"/>
              <w:left w:w="100" w:type="dxa"/>
              <w:bottom w:w="100" w:type="dxa"/>
              <w:right w:w="100" w:type="dxa"/>
            </w:tcMar>
          </w:tcPr>
          <w:p w:rsidR="00DF77A4" w:rsidRDefault="00DF77A4">
            <w:pPr>
              <w:contextualSpacing w:val="0"/>
              <w:rPr>
                <w:sz w:val="22"/>
                <w:szCs w:val="22"/>
              </w:rPr>
            </w:pPr>
          </w:p>
        </w:tc>
        <w:tc>
          <w:tcPr>
            <w:tcW w:w="1815" w:type="dxa"/>
            <w:tcMar>
              <w:top w:w="100" w:type="dxa"/>
              <w:left w:w="100" w:type="dxa"/>
              <w:bottom w:w="100" w:type="dxa"/>
              <w:right w:w="100" w:type="dxa"/>
            </w:tcMar>
          </w:tcPr>
          <w:p w:rsidR="00DF77A4" w:rsidRDefault="00DF77A4">
            <w:pPr>
              <w:contextualSpacing w:val="0"/>
              <w:rPr>
                <w:sz w:val="22"/>
                <w:szCs w:val="22"/>
              </w:rPr>
            </w:pPr>
          </w:p>
        </w:tc>
        <w:tc>
          <w:tcPr>
            <w:tcW w:w="1650" w:type="dxa"/>
            <w:tcMar>
              <w:top w:w="100" w:type="dxa"/>
              <w:left w:w="100" w:type="dxa"/>
              <w:bottom w:w="100" w:type="dxa"/>
              <w:right w:w="100" w:type="dxa"/>
            </w:tcMar>
          </w:tcPr>
          <w:p w:rsidR="00DF77A4" w:rsidRDefault="00DF77A4">
            <w:pPr>
              <w:contextualSpacing w:val="0"/>
              <w:rPr>
                <w:sz w:val="22"/>
                <w:szCs w:val="22"/>
              </w:rPr>
            </w:pPr>
          </w:p>
        </w:tc>
        <w:tc>
          <w:tcPr>
            <w:tcW w:w="1800" w:type="dxa"/>
            <w:tcMar>
              <w:top w:w="100" w:type="dxa"/>
              <w:left w:w="100" w:type="dxa"/>
              <w:bottom w:w="100" w:type="dxa"/>
              <w:right w:w="100" w:type="dxa"/>
            </w:tcMar>
          </w:tcPr>
          <w:p w:rsidR="00DF77A4" w:rsidRDefault="00DF77A4">
            <w:pPr>
              <w:contextualSpacing w:val="0"/>
              <w:rPr>
                <w:sz w:val="22"/>
                <w:szCs w:val="22"/>
              </w:rPr>
            </w:pPr>
          </w:p>
        </w:tc>
      </w:tr>
      <w:tr w:rsidR="00DF77A4">
        <w:tc>
          <w:tcPr>
            <w:tcW w:w="2040" w:type="dxa"/>
            <w:tcMar>
              <w:top w:w="100" w:type="dxa"/>
              <w:left w:w="100" w:type="dxa"/>
              <w:bottom w:w="100" w:type="dxa"/>
              <w:right w:w="100" w:type="dxa"/>
            </w:tcMar>
          </w:tcPr>
          <w:p w:rsidR="00DF77A4" w:rsidRDefault="001872D6">
            <w:pPr>
              <w:contextualSpacing w:val="0"/>
              <w:rPr>
                <w:sz w:val="22"/>
                <w:szCs w:val="22"/>
              </w:rPr>
            </w:pPr>
            <w:r>
              <w:rPr>
                <w:sz w:val="22"/>
                <w:szCs w:val="22"/>
              </w:rPr>
              <w:t>Revised Pay As You Earn (REPAYE)</w:t>
            </w:r>
          </w:p>
        </w:tc>
        <w:tc>
          <w:tcPr>
            <w:tcW w:w="1755" w:type="dxa"/>
            <w:tcMar>
              <w:top w:w="100" w:type="dxa"/>
              <w:left w:w="100" w:type="dxa"/>
              <w:bottom w:w="100" w:type="dxa"/>
              <w:right w:w="100" w:type="dxa"/>
            </w:tcMar>
          </w:tcPr>
          <w:p w:rsidR="00DF77A4" w:rsidRDefault="00DF77A4">
            <w:pPr>
              <w:contextualSpacing w:val="0"/>
              <w:rPr>
                <w:sz w:val="22"/>
                <w:szCs w:val="22"/>
              </w:rPr>
            </w:pPr>
          </w:p>
          <w:p w:rsidR="00DF77A4" w:rsidRDefault="00DF77A4">
            <w:pPr>
              <w:contextualSpacing w:val="0"/>
              <w:rPr>
                <w:sz w:val="22"/>
                <w:szCs w:val="22"/>
              </w:rPr>
            </w:pPr>
          </w:p>
        </w:tc>
        <w:tc>
          <w:tcPr>
            <w:tcW w:w="1740" w:type="dxa"/>
            <w:tcMar>
              <w:top w:w="100" w:type="dxa"/>
              <w:left w:w="100" w:type="dxa"/>
              <w:bottom w:w="100" w:type="dxa"/>
              <w:right w:w="100" w:type="dxa"/>
            </w:tcMar>
          </w:tcPr>
          <w:p w:rsidR="00DF77A4" w:rsidRDefault="00DF77A4">
            <w:pPr>
              <w:contextualSpacing w:val="0"/>
              <w:rPr>
                <w:sz w:val="22"/>
                <w:szCs w:val="22"/>
              </w:rPr>
            </w:pPr>
          </w:p>
        </w:tc>
        <w:tc>
          <w:tcPr>
            <w:tcW w:w="1815" w:type="dxa"/>
            <w:tcMar>
              <w:top w:w="100" w:type="dxa"/>
              <w:left w:w="100" w:type="dxa"/>
              <w:bottom w:w="100" w:type="dxa"/>
              <w:right w:w="100" w:type="dxa"/>
            </w:tcMar>
          </w:tcPr>
          <w:p w:rsidR="00DF77A4" w:rsidRDefault="00DF77A4">
            <w:pPr>
              <w:contextualSpacing w:val="0"/>
              <w:rPr>
                <w:sz w:val="22"/>
                <w:szCs w:val="22"/>
              </w:rPr>
            </w:pPr>
          </w:p>
        </w:tc>
        <w:tc>
          <w:tcPr>
            <w:tcW w:w="1650" w:type="dxa"/>
            <w:tcMar>
              <w:top w:w="100" w:type="dxa"/>
              <w:left w:w="100" w:type="dxa"/>
              <w:bottom w:w="100" w:type="dxa"/>
              <w:right w:w="100" w:type="dxa"/>
            </w:tcMar>
          </w:tcPr>
          <w:p w:rsidR="00DF77A4" w:rsidRDefault="00DF77A4">
            <w:pPr>
              <w:contextualSpacing w:val="0"/>
              <w:rPr>
                <w:sz w:val="22"/>
                <w:szCs w:val="22"/>
              </w:rPr>
            </w:pPr>
          </w:p>
        </w:tc>
        <w:tc>
          <w:tcPr>
            <w:tcW w:w="1800" w:type="dxa"/>
            <w:tcMar>
              <w:top w:w="100" w:type="dxa"/>
              <w:left w:w="100" w:type="dxa"/>
              <w:bottom w:w="100" w:type="dxa"/>
              <w:right w:w="100" w:type="dxa"/>
            </w:tcMar>
          </w:tcPr>
          <w:p w:rsidR="00DF77A4" w:rsidRDefault="00DF77A4">
            <w:pPr>
              <w:contextualSpacing w:val="0"/>
              <w:rPr>
                <w:sz w:val="22"/>
                <w:szCs w:val="22"/>
              </w:rPr>
            </w:pPr>
          </w:p>
        </w:tc>
      </w:tr>
      <w:tr w:rsidR="00DF77A4">
        <w:tc>
          <w:tcPr>
            <w:tcW w:w="2040" w:type="dxa"/>
            <w:tcMar>
              <w:top w:w="100" w:type="dxa"/>
              <w:left w:w="100" w:type="dxa"/>
              <w:bottom w:w="100" w:type="dxa"/>
              <w:right w:w="100" w:type="dxa"/>
            </w:tcMar>
          </w:tcPr>
          <w:p w:rsidR="00DF77A4" w:rsidRDefault="001872D6">
            <w:pPr>
              <w:contextualSpacing w:val="0"/>
              <w:rPr>
                <w:sz w:val="22"/>
                <w:szCs w:val="22"/>
              </w:rPr>
            </w:pPr>
            <w:r>
              <w:rPr>
                <w:sz w:val="22"/>
                <w:szCs w:val="22"/>
              </w:rPr>
              <w:t>Pay As You Earn (PAYE)</w:t>
            </w:r>
          </w:p>
        </w:tc>
        <w:tc>
          <w:tcPr>
            <w:tcW w:w="1755" w:type="dxa"/>
            <w:tcMar>
              <w:top w:w="100" w:type="dxa"/>
              <w:left w:w="100" w:type="dxa"/>
              <w:bottom w:w="100" w:type="dxa"/>
              <w:right w:w="100" w:type="dxa"/>
            </w:tcMar>
          </w:tcPr>
          <w:p w:rsidR="00DF77A4" w:rsidRDefault="00DF77A4">
            <w:pPr>
              <w:contextualSpacing w:val="0"/>
              <w:rPr>
                <w:sz w:val="22"/>
                <w:szCs w:val="22"/>
              </w:rPr>
            </w:pPr>
          </w:p>
        </w:tc>
        <w:tc>
          <w:tcPr>
            <w:tcW w:w="1740" w:type="dxa"/>
            <w:tcMar>
              <w:top w:w="100" w:type="dxa"/>
              <w:left w:w="100" w:type="dxa"/>
              <w:bottom w:w="100" w:type="dxa"/>
              <w:right w:w="100" w:type="dxa"/>
            </w:tcMar>
          </w:tcPr>
          <w:p w:rsidR="00DF77A4" w:rsidRDefault="00DF77A4">
            <w:pPr>
              <w:contextualSpacing w:val="0"/>
              <w:rPr>
                <w:sz w:val="22"/>
                <w:szCs w:val="22"/>
              </w:rPr>
            </w:pPr>
          </w:p>
        </w:tc>
        <w:tc>
          <w:tcPr>
            <w:tcW w:w="1815" w:type="dxa"/>
            <w:tcMar>
              <w:top w:w="100" w:type="dxa"/>
              <w:left w:w="100" w:type="dxa"/>
              <w:bottom w:w="100" w:type="dxa"/>
              <w:right w:w="100" w:type="dxa"/>
            </w:tcMar>
          </w:tcPr>
          <w:p w:rsidR="00DF77A4" w:rsidRDefault="00DF77A4">
            <w:pPr>
              <w:contextualSpacing w:val="0"/>
              <w:rPr>
                <w:sz w:val="22"/>
                <w:szCs w:val="22"/>
              </w:rPr>
            </w:pPr>
          </w:p>
        </w:tc>
        <w:tc>
          <w:tcPr>
            <w:tcW w:w="1650" w:type="dxa"/>
            <w:tcMar>
              <w:top w:w="100" w:type="dxa"/>
              <w:left w:w="100" w:type="dxa"/>
              <w:bottom w:w="100" w:type="dxa"/>
              <w:right w:w="100" w:type="dxa"/>
            </w:tcMar>
          </w:tcPr>
          <w:p w:rsidR="00DF77A4" w:rsidRDefault="00DF77A4">
            <w:pPr>
              <w:contextualSpacing w:val="0"/>
              <w:rPr>
                <w:sz w:val="22"/>
                <w:szCs w:val="22"/>
              </w:rPr>
            </w:pPr>
          </w:p>
        </w:tc>
        <w:tc>
          <w:tcPr>
            <w:tcW w:w="1800" w:type="dxa"/>
            <w:tcMar>
              <w:top w:w="100" w:type="dxa"/>
              <w:left w:w="100" w:type="dxa"/>
              <w:bottom w:w="100" w:type="dxa"/>
              <w:right w:w="100" w:type="dxa"/>
            </w:tcMar>
          </w:tcPr>
          <w:p w:rsidR="00DF77A4" w:rsidRDefault="00DF77A4">
            <w:pPr>
              <w:contextualSpacing w:val="0"/>
              <w:rPr>
                <w:sz w:val="22"/>
                <w:szCs w:val="22"/>
              </w:rPr>
            </w:pPr>
          </w:p>
        </w:tc>
      </w:tr>
      <w:tr w:rsidR="00DF77A4">
        <w:tc>
          <w:tcPr>
            <w:tcW w:w="2040" w:type="dxa"/>
            <w:tcMar>
              <w:top w:w="100" w:type="dxa"/>
              <w:left w:w="100" w:type="dxa"/>
              <w:bottom w:w="100" w:type="dxa"/>
              <w:right w:w="100" w:type="dxa"/>
            </w:tcMar>
          </w:tcPr>
          <w:p w:rsidR="00DF77A4" w:rsidRDefault="001872D6">
            <w:pPr>
              <w:contextualSpacing w:val="0"/>
              <w:rPr>
                <w:sz w:val="22"/>
                <w:szCs w:val="22"/>
              </w:rPr>
            </w:pPr>
            <w:r>
              <w:rPr>
                <w:sz w:val="22"/>
                <w:szCs w:val="22"/>
              </w:rPr>
              <w:t>Income-Based Repayment (IBR)</w:t>
            </w:r>
          </w:p>
        </w:tc>
        <w:tc>
          <w:tcPr>
            <w:tcW w:w="1755" w:type="dxa"/>
            <w:tcMar>
              <w:top w:w="100" w:type="dxa"/>
              <w:left w:w="100" w:type="dxa"/>
              <w:bottom w:w="100" w:type="dxa"/>
              <w:right w:w="100" w:type="dxa"/>
            </w:tcMar>
          </w:tcPr>
          <w:p w:rsidR="00DF77A4" w:rsidRDefault="00DF77A4">
            <w:pPr>
              <w:contextualSpacing w:val="0"/>
              <w:rPr>
                <w:sz w:val="22"/>
                <w:szCs w:val="22"/>
              </w:rPr>
            </w:pPr>
          </w:p>
          <w:p w:rsidR="00DF77A4" w:rsidRDefault="00DF77A4">
            <w:pPr>
              <w:contextualSpacing w:val="0"/>
              <w:rPr>
                <w:sz w:val="22"/>
                <w:szCs w:val="22"/>
              </w:rPr>
            </w:pPr>
          </w:p>
        </w:tc>
        <w:tc>
          <w:tcPr>
            <w:tcW w:w="1740" w:type="dxa"/>
            <w:tcMar>
              <w:top w:w="100" w:type="dxa"/>
              <w:left w:w="100" w:type="dxa"/>
              <w:bottom w:w="100" w:type="dxa"/>
              <w:right w:w="100" w:type="dxa"/>
            </w:tcMar>
          </w:tcPr>
          <w:p w:rsidR="00DF77A4" w:rsidRDefault="00DF77A4">
            <w:pPr>
              <w:contextualSpacing w:val="0"/>
              <w:rPr>
                <w:sz w:val="22"/>
                <w:szCs w:val="22"/>
              </w:rPr>
            </w:pPr>
          </w:p>
        </w:tc>
        <w:tc>
          <w:tcPr>
            <w:tcW w:w="1815" w:type="dxa"/>
            <w:tcMar>
              <w:top w:w="100" w:type="dxa"/>
              <w:left w:w="100" w:type="dxa"/>
              <w:bottom w:w="100" w:type="dxa"/>
              <w:right w:w="100" w:type="dxa"/>
            </w:tcMar>
          </w:tcPr>
          <w:p w:rsidR="00DF77A4" w:rsidRDefault="00DF77A4">
            <w:pPr>
              <w:contextualSpacing w:val="0"/>
              <w:rPr>
                <w:sz w:val="22"/>
                <w:szCs w:val="22"/>
              </w:rPr>
            </w:pPr>
          </w:p>
        </w:tc>
        <w:tc>
          <w:tcPr>
            <w:tcW w:w="1650" w:type="dxa"/>
            <w:tcMar>
              <w:top w:w="100" w:type="dxa"/>
              <w:left w:w="100" w:type="dxa"/>
              <w:bottom w:w="100" w:type="dxa"/>
              <w:right w:w="100" w:type="dxa"/>
            </w:tcMar>
          </w:tcPr>
          <w:p w:rsidR="00DF77A4" w:rsidRDefault="00DF77A4">
            <w:pPr>
              <w:contextualSpacing w:val="0"/>
              <w:rPr>
                <w:sz w:val="22"/>
                <w:szCs w:val="22"/>
              </w:rPr>
            </w:pPr>
          </w:p>
        </w:tc>
        <w:tc>
          <w:tcPr>
            <w:tcW w:w="1800" w:type="dxa"/>
            <w:tcMar>
              <w:top w:w="100" w:type="dxa"/>
              <w:left w:w="100" w:type="dxa"/>
              <w:bottom w:w="100" w:type="dxa"/>
              <w:right w:w="100" w:type="dxa"/>
            </w:tcMar>
          </w:tcPr>
          <w:p w:rsidR="00DF77A4" w:rsidRDefault="00DF77A4">
            <w:pPr>
              <w:contextualSpacing w:val="0"/>
              <w:rPr>
                <w:sz w:val="22"/>
                <w:szCs w:val="22"/>
              </w:rPr>
            </w:pPr>
          </w:p>
        </w:tc>
      </w:tr>
      <w:tr w:rsidR="00DF77A4">
        <w:tc>
          <w:tcPr>
            <w:tcW w:w="2040" w:type="dxa"/>
            <w:tcMar>
              <w:top w:w="100" w:type="dxa"/>
              <w:left w:w="100" w:type="dxa"/>
              <w:bottom w:w="100" w:type="dxa"/>
              <w:right w:w="100" w:type="dxa"/>
            </w:tcMar>
          </w:tcPr>
          <w:p w:rsidR="00DF77A4" w:rsidRDefault="001872D6">
            <w:pPr>
              <w:contextualSpacing w:val="0"/>
              <w:rPr>
                <w:sz w:val="22"/>
                <w:szCs w:val="22"/>
              </w:rPr>
            </w:pPr>
            <w:r>
              <w:rPr>
                <w:sz w:val="22"/>
                <w:szCs w:val="22"/>
              </w:rPr>
              <w:t>IBR for New Borrowers</w:t>
            </w:r>
          </w:p>
        </w:tc>
        <w:tc>
          <w:tcPr>
            <w:tcW w:w="1755" w:type="dxa"/>
            <w:tcMar>
              <w:top w:w="100" w:type="dxa"/>
              <w:left w:w="100" w:type="dxa"/>
              <w:bottom w:w="100" w:type="dxa"/>
              <w:right w:w="100" w:type="dxa"/>
            </w:tcMar>
          </w:tcPr>
          <w:p w:rsidR="00DF77A4" w:rsidRDefault="00DF77A4">
            <w:pPr>
              <w:contextualSpacing w:val="0"/>
              <w:rPr>
                <w:sz w:val="22"/>
                <w:szCs w:val="22"/>
              </w:rPr>
            </w:pPr>
          </w:p>
          <w:p w:rsidR="00DF77A4" w:rsidRDefault="00DF77A4">
            <w:pPr>
              <w:contextualSpacing w:val="0"/>
              <w:rPr>
                <w:sz w:val="22"/>
                <w:szCs w:val="22"/>
              </w:rPr>
            </w:pPr>
          </w:p>
        </w:tc>
        <w:tc>
          <w:tcPr>
            <w:tcW w:w="1740" w:type="dxa"/>
            <w:tcMar>
              <w:top w:w="100" w:type="dxa"/>
              <w:left w:w="100" w:type="dxa"/>
              <w:bottom w:w="100" w:type="dxa"/>
              <w:right w:w="100" w:type="dxa"/>
            </w:tcMar>
          </w:tcPr>
          <w:p w:rsidR="00DF77A4" w:rsidRDefault="00DF77A4">
            <w:pPr>
              <w:contextualSpacing w:val="0"/>
              <w:rPr>
                <w:sz w:val="22"/>
                <w:szCs w:val="22"/>
              </w:rPr>
            </w:pPr>
          </w:p>
        </w:tc>
        <w:tc>
          <w:tcPr>
            <w:tcW w:w="1815" w:type="dxa"/>
            <w:tcMar>
              <w:top w:w="100" w:type="dxa"/>
              <w:left w:w="100" w:type="dxa"/>
              <w:bottom w:w="100" w:type="dxa"/>
              <w:right w:w="100" w:type="dxa"/>
            </w:tcMar>
          </w:tcPr>
          <w:p w:rsidR="00DF77A4" w:rsidRDefault="00DF77A4">
            <w:pPr>
              <w:contextualSpacing w:val="0"/>
              <w:rPr>
                <w:sz w:val="22"/>
                <w:szCs w:val="22"/>
              </w:rPr>
            </w:pPr>
          </w:p>
        </w:tc>
        <w:tc>
          <w:tcPr>
            <w:tcW w:w="1650" w:type="dxa"/>
            <w:tcMar>
              <w:top w:w="100" w:type="dxa"/>
              <w:left w:w="100" w:type="dxa"/>
              <w:bottom w:w="100" w:type="dxa"/>
              <w:right w:w="100" w:type="dxa"/>
            </w:tcMar>
          </w:tcPr>
          <w:p w:rsidR="00DF77A4" w:rsidRDefault="00DF77A4">
            <w:pPr>
              <w:contextualSpacing w:val="0"/>
              <w:rPr>
                <w:sz w:val="22"/>
                <w:szCs w:val="22"/>
              </w:rPr>
            </w:pPr>
          </w:p>
        </w:tc>
        <w:tc>
          <w:tcPr>
            <w:tcW w:w="1800" w:type="dxa"/>
            <w:tcMar>
              <w:top w:w="100" w:type="dxa"/>
              <w:left w:w="100" w:type="dxa"/>
              <w:bottom w:w="100" w:type="dxa"/>
              <w:right w:w="100" w:type="dxa"/>
            </w:tcMar>
          </w:tcPr>
          <w:p w:rsidR="00DF77A4" w:rsidRDefault="00DF77A4">
            <w:pPr>
              <w:contextualSpacing w:val="0"/>
              <w:rPr>
                <w:sz w:val="22"/>
                <w:szCs w:val="22"/>
              </w:rPr>
            </w:pPr>
          </w:p>
        </w:tc>
      </w:tr>
      <w:tr w:rsidR="00DF77A4">
        <w:tc>
          <w:tcPr>
            <w:tcW w:w="2040" w:type="dxa"/>
            <w:tcMar>
              <w:top w:w="100" w:type="dxa"/>
              <w:left w:w="100" w:type="dxa"/>
              <w:bottom w:w="100" w:type="dxa"/>
              <w:right w:w="100" w:type="dxa"/>
            </w:tcMar>
          </w:tcPr>
          <w:p w:rsidR="00DF77A4" w:rsidRDefault="001872D6">
            <w:pPr>
              <w:contextualSpacing w:val="0"/>
              <w:rPr>
                <w:sz w:val="22"/>
                <w:szCs w:val="22"/>
              </w:rPr>
            </w:pPr>
            <w:r>
              <w:rPr>
                <w:sz w:val="22"/>
                <w:szCs w:val="22"/>
              </w:rPr>
              <w:t>Income-Contingent Repayment (ICR)</w:t>
            </w:r>
          </w:p>
        </w:tc>
        <w:tc>
          <w:tcPr>
            <w:tcW w:w="1755" w:type="dxa"/>
            <w:tcMar>
              <w:top w:w="100" w:type="dxa"/>
              <w:left w:w="100" w:type="dxa"/>
              <w:bottom w:w="100" w:type="dxa"/>
              <w:right w:w="100" w:type="dxa"/>
            </w:tcMar>
          </w:tcPr>
          <w:p w:rsidR="00DF77A4" w:rsidRDefault="00DF77A4">
            <w:pPr>
              <w:contextualSpacing w:val="0"/>
              <w:rPr>
                <w:sz w:val="22"/>
                <w:szCs w:val="22"/>
              </w:rPr>
            </w:pPr>
          </w:p>
          <w:p w:rsidR="00DF77A4" w:rsidRDefault="00DF77A4">
            <w:pPr>
              <w:contextualSpacing w:val="0"/>
              <w:rPr>
                <w:sz w:val="22"/>
                <w:szCs w:val="22"/>
              </w:rPr>
            </w:pPr>
          </w:p>
        </w:tc>
        <w:tc>
          <w:tcPr>
            <w:tcW w:w="1740" w:type="dxa"/>
            <w:tcMar>
              <w:top w:w="100" w:type="dxa"/>
              <w:left w:w="100" w:type="dxa"/>
              <w:bottom w:w="100" w:type="dxa"/>
              <w:right w:w="100" w:type="dxa"/>
            </w:tcMar>
          </w:tcPr>
          <w:p w:rsidR="00DF77A4" w:rsidRDefault="00DF77A4">
            <w:pPr>
              <w:contextualSpacing w:val="0"/>
              <w:rPr>
                <w:sz w:val="22"/>
                <w:szCs w:val="22"/>
              </w:rPr>
            </w:pPr>
          </w:p>
        </w:tc>
        <w:tc>
          <w:tcPr>
            <w:tcW w:w="1815" w:type="dxa"/>
            <w:tcMar>
              <w:top w:w="100" w:type="dxa"/>
              <w:left w:w="100" w:type="dxa"/>
              <w:bottom w:w="100" w:type="dxa"/>
              <w:right w:w="100" w:type="dxa"/>
            </w:tcMar>
          </w:tcPr>
          <w:p w:rsidR="00DF77A4" w:rsidRDefault="00DF77A4">
            <w:pPr>
              <w:contextualSpacing w:val="0"/>
              <w:rPr>
                <w:sz w:val="22"/>
                <w:szCs w:val="22"/>
              </w:rPr>
            </w:pPr>
          </w:p>
        </w:tc>
        <w:tc>
          <w:tcPr>
            <w:tcW w:w="1650" w:type="dxa"/>
            <w:tcMar>
              <w:top w:w="100" w:type="dxa"/>
              <w:left w:w="100" w:type="dxa"/>
              <w:bottom w:w="100" w:type="dxa"/>
              <w:right w:w="100" w:type="dxa"/>
            </w:tcMar>
          </w:tcPr>
          <w:p w:rsidR="00DF77A4" w:rsidRDefault="00DF77A4">
            <w:pPr>
              <w:contextualSpacing w:val="0"/>
              <w:rPr>
                <w:sz w:val="22"/>
                <w:szCs w:val="22"/>
              </w:rPr>
            </w:pPr>
          </w:p>
        </w:tc>
        <w:tc>
          <w:tcPr>
            <w:tcW w:w="1800" w:type="dxa"/>
            <w:tcMar>
              <w:top w:w="100" w:type="dxa"/>
              <w:left w:w="100" w:type="dxa"/>
              <w:bottom w:w="100" w:type="dxa"/>
              <w:right w:w="100" w:type="dxa"/>
            </w:tcMar>
          </w:tcPr>
          <w:p w:rsidR="00DF77A4" w:rsidRDefault="00DF77A4">
            <w:pPr>
              <w:contextualSpacing w:val="0"/>
              <w:rPr>
                <w:sz w:val="22"/>
                <w:szCs w:val="22"/>
              </w:rPr>
            </w:pPr>
          </w:p>
        </w:tc>
      </w:tr>
    </w:tbl>
    <w:p w:rsidR="00DF77A4" w:rsidRDefault="001872D6">
      <w:pPr>
        <w:pStyle w:val="Heading3"/>
        <w:spacing w:before="360" w:after="80" w:line="288" w:lineRule="auto"/>
        <w:contextualSpacing w:val="0"/>
        <w:jc w:val="left"/>
      </w:pPr>
      <w:bookmarkStart w:id="3" w:name="_jtj2wxtg3nym" w:colFirst="0" w:colLast="0"/>
      <w:bookmarkStart w:id="4" w:name="_2mx6oimg6s2a" w:colFirst="0" w:colLast="0"/>
      <w:bookmarkStart w:id="5" w:name="_pc3fxfe3f51a" w:colFirst="0" w:colLast="0"/>
      <w:bookmarkStart w:id="6" w:name="_a3ge0dfrjnod" w:colFirst="0" w:colLast="0"/>
      <w:bookmarkEnd w:id="3"/>
      <w:bookmarkEnd w:id="4"/>
      <w:bookmarkEnd w:id="5"/>
      <w:bookmarkEnd w:id="6"/>
      <w:r>
        <w:t>Part III: Choose Your Repayment Plan</w:t>
      </w:r>
    </w:p>
    <w:p w:rsidR="00DF77A4" w:rsidRDefault="001872D6">
      <w:pPr>
        <w:contextualSpacing w:val="0"/>
        <w:rPr>
          <w:sz w:val="22"/>
          <w:szCs w:val="22"/>
        </w:rPr>
      </w:pPr>
      <w:r>
        <w:rPr>
          <w:sz w:val="22"/>
          <w:szCs w:val="22"/>
        </w:rPr>
        <w:t>Answer the following questions based on the work you’ve done above, your Income-Based Budgeting activity, and your knowledge of personal finance topics:</w:t>
      </w:r>
    </w:p>
    <w:p w:rsidR="00DF77A4" w:rsidRDefault="00DF77A4">
      <w:pPr>
        <w:contextualSpacing w:val="0"/>
        <w:rPr>
          <w:sz w:val="22"/>
          <w:szCs w:val="22"/>
        </w:rPr>
      </w:pPr>
    </w:p>
    <w:p w:rsidR="00DF77A4" w:rsidRDefault="001872D6">
      <w:pPr>
        <w:numPr>
          <w:ilvl w:val="0"/>
          <w:numId w:val="4"/>
        </w:numPr>
        <w:ind w:hanging="360"/>
        <w:rPr>
          <w:sz w:val="22"/>
          <w:szCs w:val="22"/>
        </w:rPr>
      </w:pPr>
      <w:r>
        <w:rPr>
          <w:sz w:val="22"/>
          <w:szCs w:val="22"/>
        </w:rPr>
        <w:t>Which plan offers the lowest overall cost for your student loan?</w:t>
      </w:r>
    </w:p>
    <w:p w:rsidR="00DF77A4" w:rsidRDefault="00DF77A4">
      <w:pPr>
        <w:contextualSpacing w:val="0"/>
        <w:rPr>
          <w:sz w:val="22"/>
          <w:szCs w:val="22"/>
        </w:rPr>
      </w:pPr>
    </w:p>
    <w:p w:rsidR="00DF77A4" w:rsidRDefault="001872D6">
      <w:pPr>
        <w:numPr>
          <w:ilvl w:val="1"/>
          <w:numId w:val="4"/>
        </w:numPr>
        <w:ind w:hanging="360"/>
        <w:rPr>
          <w:sz w:val="22"/>
          <w:szCs w:val="22"/>
        </w:rPr>
      </w:pPr>
      <w:r>
        <w:rPr>
          <w:sz w:val="22"/>
          <w:szCs w:val="22"/>
        </w:rPr>
        <w:t>In what ways could you lower that low-cost option (from question 4) even more?</w:t>
      </w:r>
    </w:p>
    <w:p w:rsidR="00DF22B2" w:rsidRDefault="00DF22B2" w:rsidP="00DF22B2">
      <w:pPr>
        <w:ind w:left="1440"/>
        <w:rPr>
          <w:sz w:val="22"/>
          <w:szCs w:val="22"/>
        </w:rPr>
      </w:pPr>
    </w:p>
    <w:p w:rsidR="00DF77A4" w:rsidRDefault="00DF77A4">
      <w:pPr>
        <w:contextualSpacing w:val="0"/>
        <w:rPr>
          <w:sz w:val="22"/>
          <w:szCs w:val="22"/>
        </w:rPr>
      </w:pPr>
    </w:p>
    <w:p w:rsidR="00DF77A4" w:rsidRDefault="001872D6">
      <w:pPr>
        <w:numPr>
          <w:ilvl w:val="0"/>
          <w:numId w:val="4"/>
        </w:numPr>
        <w:ind w:hanging="360"/>
        <w:rPr>
          <w:sz w:val="22"/>
          <w:szCs w:val="22"/>
        </w:rPr>
      </w:pPr>
      <w:r>
        <w:rPr>
          <w:sz w:val="22"/>
          <w:szCs w:val="22"/>
        </w:rPr>
        <w:t xml:space="preserve">Which plan will you choose to incorporate into your monthly budget?  </w:t>
      </w:r>
    </w:p>
    <w:p w:rsidR="00DF77A4" w:rsidRDefault="00DF77A4">
      <w:pPr>
        <w:contextualSpacing w:val="0"/>
        <w:rPr>
          <w:sz w:val="22"/>
          <w:szCs w:val="22"/>
        </w:rPr>
      </w:pPr>
    </w:p>
    <w:p w:rsidR="00DF77A4" w:rsidRDefault="001872D6">
      <w:pPr>
        <w:numPr>
          <w:ilvl w:val="1"/>
          <w:numId w:val="4"/>
        </w:numPr>
        <w:ind w:hanging="360"/>
        <w:rPr>
          <w:sz w:val="22"/>
          <w:szCs w:val="22"/>
        </w:rPr>
      </w:pPr>
      <w:r>
        <w:rPr>
          <w:sz w:val="22"/>
          <w:szCs w:val="22"/>
        </w:rPr>
        <w:t>What are some of the pros of the plan you’ve chosen?</w:t>
      </w:r>
    </w:p>
    <w:p w:rsidR="00DF22B2" w:rsidRDefault="00DF22B2" w:rsidP="00DF22B2">
      <w:pPr>
        <w:ind w:left="1440"/>
        <w:rPr>
          <w:sz w:val="22"/>
          <w:szCs w:val="22"/>
        </w:rPr>
      </w:pPr>
    </w:p>
    <w:p w:rsidR="00DF77A4" w:rsidRDefault="00DF77A4">
      <w:pPr>
        <w:contextualSpacing w:val="0"/>
        <w:rPr>
          <w:sz w:val="22"/>
          <w:szCs w:val="22"/>
        </w:rPr>
      </w:pPr>
    </w:p>
    <w:p w:rsidR="00DF77A4" w:rsidRDefault="001872D6">
      <w:pPr>
        <w:numPr>
          <w:ilvl w:val="1"/>
          <w:numId w:val="4"/>
        </w:numPr>
        <w:ind w:hanging="360"/>
        <w:rPr>
          <w:sz w:val="22"/>
          <w:szCs w:val="22"/>
        </w:rPr>
      </w:pPr>
      <w:r>
        <w:rPr>
          <w:sz w:val="22"/>
          <w:szCs w:val="22"/>
        </w:rPr>
        <w:t xml:space="preserve">What are some of the cons of the plan you’ve chosen, or what will you need to be cautious of as you pay back your loan?  </w:t>
      </w:r>
    </w:p>
    <w:p w:rsidR="00DF77A4" w:rsidRDefault="00DF77A4">
      <w:pPr>
        <w:contextualSpacing w:val="0"/>
        <w:rPr>
          <w:sz w:val="22"/>
          <w:szCs w:val="22"/>
        </w:rPr>
      </w:pPr>
    </w:p>
    <w:p w:rsidR="00DF77A4" w:rsidRDefault="00DF77A4">
      <w:pPr>
        <w:contextualSpacing w:val="0"/>
        <w:rPr>
          <w:sz w:val="22"/>
          <w:szCs w:val="22"/>
        </w:rPr>
      </w:pPr>
    </w:p>
    <w:p w:rsidR="00DF77A4" w:rsidRDefault="001872D6">
      <w:pPr>
        <w:numPr>
          <w:ilvl w:val="0"/>
          <w:numId w:val="4"/>
        </w:numPr>
        <w:ind w:hanging="360"/>
        <w:rPr>
          <w:sz w:val="22"/>
          <w:szCs w:val="22"/>
        </w:rPr>
      </w:pPr>
      <w:r>
        <w:rPr>
          <w:sz w:val="22"/>
          <w:szCs w:val="22"/>
        </w:rPr>
        <w:t>Are there any other loan options you’re aware of (</w:t>
      </w:r>
      <w:hyperlink r:id="rId10">
        <w:r>
          <w:rPr>
            <w:color w:val="1155CC"/>
            <w:sz w:val="22"/>
            <w:szCs w:val="22"/>
            <w:u w:val="single"/>
          </w:rPr>
          <w:t>consolidation</w:t>
        </w:r>
      </w:hyperlink>
      <w:r>
        <w:rPr>
          <w:sz w:val="22"/>
          <w:szCs w:val="22"/>
        </w:rPr>
        <w:t xml:space="preserve">, </w:t>
      </w:r>
      <w:hyperlink r:id="rId11">
        <w:r>
          <w:rPr>
            <w:color w:val="1155CC"/>
            <w:sz w:val="22"/>
            <w:szCs w:val="22"/>
            <w:u w:val="single"/>
          </w:rPr>
          <w:t>forgiveness</w:t>
        </w:r>
      </w:hyperlink>
      <w:r>
        <w:rPr>
          <w:sz w:val="22"/>
          <w:szCs w:val="22"/>
        </w:rPr>
        <w:t xml:space="preserve">, </w:t>
      </w:r>
      <w:hyperlink r:id="rId12">
        <w:r>
          <w:rPr>
            <w:color w:val="1155CC"/>
            <w:sz w:val="22"/>
            <w:szCs w:val="22"/>
            <w:u w:val="single"/>
          </w:rPr>
          <w:t>deferment, forbearance</w:t>
        </w:r>
      </w:hyperlink>
      <w:r>
        <w:rPr>
          <w:sz w:val="22"/>
          <w:szCs w:val="22"/>
        </w:rPr>
        <w:t>) that you will qualify for or consider using</w:t>
      </w:r>
      <w:r>
        <w:rPr>
          <w:sz w:val="22"/>
          <w:szCs w:val="22"/>
        </w:rPr>
        <w:t xml:space="preserve">?  </w:t>
      </w:r>
    </w:p>
    <w:p w:rsidR="00DF77A4" w:rsidRDefault="00DF77A4">
      <w:pPr>
        <w:contextualSpacing w:val="0"/>
        <w:rPr>
          <w:sz w:val="22"/>
          <w:szCs w:val="22"/>
        </w:rPr>
      </w:pPr>
    </w:p>
    <w:p w:rsidR="00DF77A4" w:rsidRDefault="001872D6">
      <w:pPr>
        <w:numPr>
          <w:ilvl w:val="1"/>
          <w:numId w:val="4"/>
        </w:numPr>
        <w:ind w:hanging="360"/>
        <w:rPr>
          <w:sz w:val="22"/>
          <w:szCs w:val="22"/>
        </w:rPr>
      </w:pPr>
      <w:r>
        <w:rPr>
          <w:sz w:val="22"/>
          <w:szCs w:val="22"/>
        </w:rPr>
        <w:t xml:space="preserve">If so, what are they? </w:t>
      </w:r>
    </w:p>
    <w:p w:rsidR="00DF77A4" w:rsidRDefault="00DF77A4">
      <w:pPr>
        <w:contextualSpacing w:val="0"/>
        <w:rPr>
          <w:sz w:val="22"/>
          <w:szCs w:val="22"/>
        </w:rPr>
      </w:pPr>
    </w:p>
    <w:p w:rsidR="00DF77A4" w:rsidRDefault="001872D6">
      <w:pPr>
        <w:numPr>
          <w:ilvl w:val="1"/>
          <w:numId w:val="4"/>
        </w:numPr>
        <w:ind w:hanging="360"/>
        <w:rPr>
          <w:sz w:val="22"/>
          <w:szCs w:val="22"/>
        </w:rPr>
      </w:pPr>
      <w:r>
        <w:rPr>
          <w:sz w:val="22"/>
          <w:szCs w:val="22"/>
        </w:rPr>
        <w:t xml:space="preserve">How will these options be useful to you?    </w:t>
      </w:r>
    </w:p>
    <w:p w:rsidR="00DF22B2" w:rsidRDefault="00DF22B2" w:rsidP="00DF22B2">
      <w:pPr>
        <w:pStyle w:val="ListParagraph"/>
        <w:rPr>
          <w:sz w:val="22"/>
          <w:szCs w:val="22"/>
        </w:rPr>
      </w:pPr>
    </w:p>
    <w:p w:rsidR="00DF77A4" w:rsidRDefault="00DF77A4">
      <w:pPr>
        <w:contextualSpacing w:val="0"/>
        <w:rPr>
          <w:sz w:val="22"/>
          <w:szCs w:val="22"/>
        </w:rPr>
      </w:pPr>
    </w:p>
    <w:p w:rsidR="00DF77A4" w:rsidRPr="00DF22B2" w:rsidRDefault="001872D6" w:rsidP="00DF22B2">
      <w:pPr>
        <w:numPr>
          <w:ilvl w:val="1"/>
          <w:numId w:val="4"/>
        </w:numPr>
        <w:ind w:hanging="360"/>
        <w:contextualSpacing w:val="0"/>
        <w:rPr>
          <w:sz w:val="22"/>
          <w:szCs w:val="22"/>
        </w:rPr>
      </w:pPr>
      <w:r w:rsidRPr="00DF22B2">
        <w:rPr>
          <w:sz w:val="22"/>
          <w:szCs w:val="22"/>
        </w:rPr>
        <w:t xml:space="preserve">Are there any downsides of using these options?  </w:t>
      </w:r>
    </w:p>
    <w:sectPr w:rsidR="00DF77A4" w:rsidRPr="00DF22B2">
      <w:footerReference w:type="default" r:id="rId13"/>
      <w:pgSz w:w="12240" w:h="15840"/>
      <w:pgMar w:top="360" w:right="720" w:bottom="36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1872D6">
      <w:r>
        <w:separator/>
      </w:r>
    </w:p>
  </w:endnote>
  <w:endnote w:type="continuationSeparator" w:id="0">
    <w:p w:rsidR="00000000" w:rsidRDefault="00187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7A4" w:rsidRDefault="001872D6">
    <w:pPr>
      <w:contextualSpacing w:val="0"/>
      <w:jc w:val="center"/>
      <w:rPr>
        <w:color w:val="B7B7B7"/>
      </w:rPr>
    </w:pPr>
    <w:hyperlink r:id="rId1">
      <w:r>
        <w:rPr>
          <w:color w:val="999999"/>
          <w:u w:val="single"/>
        </w:rPr>
        <w:t>www.nextgenpersonalfinance.org</w:t>
      </w:r>
    </w:hyperlink>
  </w:p>
  <w:p w:rsidR="00DF77A4" w:rsidRDefault="001872D6">
    <w:pPr>
      <w:contextualSpacing w:val="0"/>
      <w:jc w:val="right"/>
    </w:pPr>
    <w:r>
      <w:fldChar w:fldCharType="begin"/>
    </w:r>
    <w:r>
      <w:instrText>PAGE</w:instrText>
    </w:r>
    <w:r w:rsidR="00DF22B2">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1872D6">
      <w:r>
        <w:separator/>
      </w:r>
    </w:p>
  </w:footnote>
  <w:footnote w:type="continuationSeparator" w:id="0">
    <w:p w:rsidR="00000000" w:rsidRDefault="001872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E41D23"/>
    <w:multiLevelType w:val="multilevel"/>
    <w:tmpl w:val="F77E4432"/>
    <w:lvl w:ilvl="0">
      <w:start w:val="4"/>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15:restartNumberingAfterBreak="0">
    <w:nsid w:val="340A231D"/>
    <w:multiLevelType w:val="multilevel"/>
    <w:tmpl w:val="781A0F3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439F5B03"/>
    <w:multiLevelType w:val="multilevel"/>
    <w:tmpl w:val="94ECAC0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588407A8"/>
    <w:multiLevelType w:val="multilevel"/>
    <w:tmpl w:val="EDC649A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7467737C"/>
    <w:multiLevelType w:val="multilevel"/>
    <w:tmpl w:val="4D16BBC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7A4"/>
    <w:rsid w:val="001872D6"/>
    <w:rsid w:val="00DF22B2"/>
    <w:rsid w:val="00DF77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4D1C6"/>
  <w15:docId w15:val="{5D5FF5DE-15A7-4821-8653-140A80AB4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lang w:val="en-US" w:eastAsia="en-US" w:bidi="ar-SA"/>
      </w:rPr>
    </w:rPrDefault>
    <w:pPrDefault>
      <w:pPr>
        <w:widowControl w:val="0"/>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outlineLvl w:val="0"/>
    </w:pPr>
    <w:rPr>
      <w:color w:val="FFFFFF"/>
      <w:sz w:val="24"/>
      <w:szCs w:val="24"/>
      <w:highlight w:val="black"/>
    </w:rPr>
  </w:style>
  <w:style w:type="paragraph" w:styleId="Heading2">
    <w:name w:val="heading 2"/>
    <w:basedOn w:val="Normal"/>
    <w:next w:val="Normal"/>
    <w:pPr>
      <w:jc w:val="right"/>
      <w:outlineLvl w:val="1"/>
    </w:pPr>
    <w:rPr>
      <w:i/>
      <w:sz w:val="36"/>
      <w:szCs w:val="36"/>
    </w:rPr>
  </w:style>
  <w:style w:type="paragraph" w:styleId="Heading3">
    <w:name w:val="heading 3"/>
    <w:basedOn w:val="Normal"/>
    <w:next w:val="Normal"/>
    <w:pPr>
      <w:jc w:val="center"/>
      <w:outlineLvl w:val="2"/>
    </w:pPr>
    <w:rPr>
      <w:b/>
      <w:sz w:val="22"/>
      <w:szCs w:val="22"/>
    </w:rPr>
  </w:style>
  <w:style w:type="paragraph" w:styleId="Heading4">
    <w:name w:val="heading 4"/>
    <w:basedOn w:val="Normal"/>
    <w:next w:val="Normal"/>
    <w:pPr>
      <w:outlineLvl w:val="3"/>
    </w:pPr>
    <w:rPr>
      <w:i/>
    </w:rPr>
  </w:style>
  <w:style w:type="paragraph" w:styleId="Heading5">
    <w:name w:val="heading 5"/>
    <w:basedOn w:val="Normal"/>
    <w:next w:val="Normal"/>
    <w:pPr>
      <w:spacing w:before="220" w:after="40"/>
      <w:outlineLvl w:val="4"/>
    </w:pPr>
    <w:rPr>
      <w:b/>
      <w:color w:val="666666"/>
    </w:rPr>
  </w:style>
  <w:style w:type="paragraph" w:styleId="Heading6">
    <w:name w:val="heading 6"/>
    <w:basedOn w:val="Normal"/>
    <w:next w:val="Normal"/>
    <w:pPr>
      <w:spacing w:before="200" w:after="4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sz w:val="48"/>
      <w:szCs w:val="48"/>
    </w:rPr>
  </w:style>
  <w:style w:type="paragraph" w:styleId="Subtitle">
    <w:name w:val="Subtitle"/>
    <w:basedOn w:val="Normal"/>
    <w:next w:val="Normal"/>
    <w:pPr>
      <w:spacing w:before="360" w:after="80"/>
    </w:pPr>
    <w:rPr>
      <w:i/>
      <w:color w:val="8EA88C"/>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paragraph" w:styleId="Header">
    <w:name w:val="header"/>
    <w:basedOn w:val="Normal"/>
    <w:link w:val="HeaderChar"/>
    <w:uiPriority w:val="99"/>
    <w:unhideWhenUsed/>
    <w:rsid w:val="00DF22B2"/>
    <w:pPr>
      <w:tabs>
        <w:tab w:val="center" w:pos="4680"/>
        <w:tab w:val="right" w:pos="9360"/>
      </w:tabs>
    </w:pPr>
  </w:style>
  <w:style w:type="character" w:customStyle="1" w:styleId="HeaderChar">
    <w:name w:val="Header Char"/>
    <w:basedOn w:val="DefaultParagraphFont"/>
    <w:link w:val="Header"/>
    <w:uiPriority w:val="99"/>
    <w:rsid w:val="00DF22B2"/>
  </w:style>
  <w:style w:type="paragraph" w:styleId="Footer">
    <w:name w:val="footer"/>
    <w:basedOn w:val="Normal"/>
    <w:link w:val="FooterChar"/>
    <w:uiPriority w:val="99"/>
    <w:unhideWhenUsed/>
    <w:rsid w:val="00DF22B2"/>
    <w:pPr>
      <w:tabs>
        <w:tab w:val="center" w:pos="4680"/>
        <w:tab w:val="right" w:pos="9360"/>
      </w:tabs>
    </w:pPr>
  </w:style>
  <w:style w:type="character" w:customStyle="1" w:styleId="FooterChar">
    <w:name w:val="Footer Char"/>
    <w:basedOn w:val="DefaultParagraphFont"/>
    <w:link w:val="Footer"/>
    <w:uiPriority w:val="99"/>
    <w:rsid w:val="00DF22B2"/>
  </w:style>
  <w:style w:type="paragraph" w:styleId="ListParagraph">
    <w:name w:val="List Paragraph"/>
    <w:basedOn w:val="Normal"/>
    <w:uiPriority w:val="34"/>
    <w:qFormat/>
    <w:rsid w:val="00DF22B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studentaid.ed.gov/repay-loans/understand/plan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ticas.org/posd/state-state-data-2015" TargetMode="External"/><Relationship Id="rId12" Type="http://schemas.openxmlformats.org/officeDocument/2006/relationships/hyperlink" Target="https://studentaid.ed.gov/repay-loans/deferment-forbearan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tudentaid.ed.gov/repay-loans/forgiveness-cancellatio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studentaid.ed.gov/repay-loans/consolidation" TargetMode="External"/><Relationship Id="rId4" Type="http://schemas.openxmlformats.org/officeDocument/2006/relationships/webSettings" Target="webSettings.xml"/><Relationship Id="rId9" Type="http://schemas.openxmlformats.org/officeDocument/2006/relationships/hyperlink" Target="https://studentloans.gov/myDirectLoan/mobile/repayment/repaymentEstimator.action"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nextgenpersonalfinan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696</Words>
  <Characters>3970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Jefferson County Public Schools</Company>
  <LinksUpToDate>false</LinksUpToDate>
  <CharactersWithSpaces>4657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Shackett Sara B</dc:creator>
  <cp:lastModifiedBy>Shackett Sara B</cp:lastModifiedBy>
  <cp:revision>2</cp:revision>
  <dcterms:created xsi:type="dcterms:W3CDTF">2017-04-24T20:29:00Z</dcterms:created>
  <dcterms:modified xsi:type="dcterms:W3CDTF">2017-04-24T20:29:00Z</dcterms:modified>
</cp:coreProperties>
</file>